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Umjetnička škola Luke Sorkočevića Dubrovnik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Strossmayerova 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20000 Dubrovnik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OBRAZLOŽENJE UZ IZVJEŠĆE O GODIŠNJEM IZVRŠENJU FINANCIJSKOG PLANA ZA 2022. GODINU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Obveza izrade i usvajanja godišnjeg izvještaja o izvršenju financijskog plana proračunskog korisnika propisana je člancima 81. do 87. novog ZOP-a.</w:t>
      </w:r>
    </w:p>
    <w:p>
      <w:pPr>
        <w:pStyle w:val="Normal"/>
        <w:rPr/>
      </w:pPr>
      <w:r>
        <w:rPr>
          <w:sz w:val="28"/>
          <w:szCs w:val="28"/>
        </w:rPr>
        <w:t>Prema čl.81.st.1.ZOP-a, godišnji izvještaj o izvršenju financijskog plana proračunskog korisnika sadrži: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Opći dio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Posebni dio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Obrazloženje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Posebne izvještaje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28"/>
          <w:szCs w:val="28"/>
        </w:rPr>
        <w:t xml:space="preserve">                           </w:t>
      </w:r>
      <w:r>
        <w:rPr>
          <w:sz w:val="20"/>
          <w:szCs w:val="20"/>
        </w:rPr>
        <w:t>IZVJEŠTAJ O IZVRŠENJU FINANCIJSKOG PLANA ZA 2022. g.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 DIO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color w:val="70AD47" w:themeColor="accent6"/>
          <w:sz w:val="20"/>
          <w:szCs w:val="20"/>
        </w:rPr>
        <w:t xml:space="preserve">PRIHODI/RASHODI 2022. GOD.         Izvršenje plana 2021.      Izvorni plan 2022.     Izvršenje plana 2022.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PRIHODI UKUPNO                                   14.716.013,00                14.932.034,00                 15.257.116,04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 xml:space="preserve">Prihodi poslovanja                                         14.715.193,00                 14.931.034,00                15.256.187,23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Prihodi od prodaje nef.imovine                                 820,00                          1.000,00                            928,81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RASHODI UKUPNO                                 14.800.941,00                 15.569.729,00               15.474.588,03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Rashodi poslovanja                                       14.443.441,00                 15.021.691,00               15.281.079,75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 xml:space="preserve">Rashodi za nef.imovinu                                      357.500,00                      548.038,00                    193.508,28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RAZLIKA – VIŠAK / MANJAK                     -84.928,00                     -637.695,00                  -217.471,99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color w:val="70AD47" w:themeColor="accent6"/>
          <w:sz w:val="20"/>
          <w:szCs w:val="20"/>
        </w:rPr>
        <w:t xml:space="preserve">           </w:t>
      </w:r>
      <w:r>
        <w:rPr>
          <w:color w:val="70AD47" w:themeColor="accent6"/>
          <w:sz w:val="20"/>
          <w:szCs w:val="20"/>
        </w:rPr>
        <w:t>VIŠKOVI/MANJKOVI                 Izvršenje plana 2021.     Izvorni plan 2022.      Izvršenje plana 2022.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Donos viška/manjka iz preth.godina.                 727.135,00                      637.570,53                    637.570,53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Višak iz preth.god. koji će se raspored.            84.928,00                      637.695,00                    217.471,99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/>
      </w:pPr>
      <w:r>
        <w:rPr>
          <w:sz w:val="28"/>
          <w:szCs w:val="28"/>
        </w:rPr>
        <w:t>U 2022.god. ostvareno je 2,18% prihoda  više od planiranog, realizirano 99,39% planiranih  rashoda i korišteno 217.471,99kn viška za pokriće rashoda tekuće godine. Najveći dio potrošenog viška je na Izvoru 5.9.2 Pomoći/Fondovi EU proračunski korisnici – prenesena sredstva, gdje je realizirano 96,49% prenesenog viška iz prethodnih godine, a odnose se na program Era</w:t>
      </w:r>
      <w:r>
        <w:rPr>
          <w:sz w:val="28"/>
          <w:szCs w:val="28"/>
        </w:rPr>
        <w:t>s</w:t>
      </w:r>
      <w:r>
        <w:rPr>
          <w:sz w:val="28"/>
          <w:szCs w:val="28"/>
        </w:rPr>
        <w:t>mus +.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jc w:val="center"/>
        <w:rPr>
          <w:sz w:val="28"/>
          <w:szCs w:val="28"/>
        </w:rPr>
      </w:pPr>
      <w:r>
        <w:rPr>
          <w:sz w:val="28"/>
          <w:szCs w:val="28"/>
        </w:rPr>
        <w:t>OBRAZLOŽENJE POSEBNOG DIJELA IZVJEŠTAJA O            IZVRŠENJU FINANCIJSKOG PLANA</w:t>
      </w:r>
    </w:p>
    <w:p>
      <w:pPr>
        <w:pStyle w:val="ListParagraph"/>
        <w:ind w:left="10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OBRAZLOŽENJE PRIHODA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 izvoru financiranja 4.3.1 Prihodi za posebne namjene- proračunski korisnici</w:t>
      </w:r>
    </w:p>
    <w:p>
      <w:pPr>
        <w:pStyle w:val="Normal"/>
        <w:rPr/>
      </w:pPr>
      <w:r>
        <w:rPr>
          <w:sz w:val="28"/>
          <w:szCs w:val="28"/>
        </w:rPr>
        <w:t>na podskupini 683-Ostali prihodi, ostvareno je 1.618,00kn više od planiranih, a odnose se  na naplaćene sudske troškove po ovrhama koje smo pokrenuli za nenaplaćene školarine.</w:t>
      </w:r>
    </w:p>
    <w:p>
      <w:pPr>
        <w:pStyle w:val="Normal"/>
        <w:rPr/>
      </w:pPr>
      <w:r>
        <w:rPr>
          <w:sz w:val="28"/>
          <w:szCs w:val="28"/>
        </w:rPr>
        <w:t>Na ostalim izvorima financiranja nema većih odstupanja od plana.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OBRAZLOŽENJE RASHODA</w:t>
      </w:r>
    </w:p>
    <w:p>
      <w:pPr>
        <w:pStyle w:val="Normal"/>
        <w:rPr/>
      </w:pPr>
      <w:r>
        <w:rPr>
          <w:sz w:val="28"/>
          <w:szCs w:val="28"/>
        </w:rPr>
        <w:t>Na izvoru financiranja 5.8.1 Ostale pomoći proračunski korisnici, na podskupini 424-Knjige, umjetnička djela...., realizirano je 2.750,00kn za kupovinu lektira,  a nije bilo u planu.</w:t>
      </w:r>
    </w:p>
    <w:p>
      <w:pPr>
        <w:pStyle w:val="Normal"/>
        <w:rPr/>
      </w:pPr>
      <w:r>
        <w:rPr>
          <w:sz w:val="28"/>
          <w:szCs w:val="28"/>
        </w:rPr>
        <w:t>Na istom izvoru na Aktivnosti Programi školskog kurikuluma...realizirano je 23,52%  više od godišnjeg plana. Grad Dubrovnik je u cijelosti financirao projekt na slikarskom odjelu.</w:t>
      </w:r>
    </w:p>
    <w:p>
      <w:pPr>
        <w:pStyle w:val="Normal"/>
        <w:rPr/>
      </w:pPr>
      <w:r>
        <w:rPr>
          <w:sz w:val="28"/>
          <w:szCs w:val="28"/>
        </w:rPr>
        <w:t xml:space="preserve">Na izvoru financiranja 4.3.2 Prihodi za posebne namjene PK- prenesena sredstva, potrošeno je 38,30% viška iz prethodnih godina.  </w:t>
      </w:r>
    </w:p>
    <w:p>
      <w:pPr>
        <w:pStyle w:val="Normal"/>
        <w:rPr/>
      </w:pPr>
      <w:r>
        <w:rPr>
          <w:sz w:val="28"/>
          <w:szCs w:val="28"/>
        </w:rPr>
        <w:t>Na ostalim izvorima financiranja nema većih odstupanja od plana.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Dubrovnik, 08.03.2023.</w:t>
      </w:r>
    </w:p>
    <w:p>
      <w:pPr>
        <w:pStyle w:val="Normal"/>
        <w:rPr/>
      </w:pPr>
      <w:r>
        <w:rPr>
          <w:sz w:val="28"/>
          <w:szCs w:val="28"/>
        </w:rPr>
        <w:t>Voditelj računovodstva:                                                      Ravnatelj:</w:t>
      </w:r>
    </w:p>
    <w:p>
      <w:pPr>
        <w:pStyle w:val="Normal"/>
        <w:rPr/>
      </w:pPr>
      <w:r>
        <w:rPr>
          <w:sz w:val="28"/>
          <w:szCs w:val="28"/>
        </w:rPr>
        <w:t>Viktorija Ćorak                                                                   Dario Čagalj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zh-CN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00000A"/>
      <w:sz w:val="22"/>
      <w:szCs w:val="24"/>
      <w:lang w:val="hr-H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90b1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90b1b"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3fa3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b90b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90b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LibreOffice/5.2.3.3$Windows_X86_64 LibreOffice_project/d54a8868f08a7b39642414cf2c8ef2f228f780cf</Application>
  <Pages>2</Pages>
  <Words>343</Words>
  <Characters>2356</Characters>
  <CharactersWithSpaces>3476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2022-07-27T07:43:00Z</dcterms:created>
  <dc:creator>VIKTORIJA ĆORAK</dc:creator>
  <dc:description/>
  <dc:language>hr-HR</dc:language>
  <cp:lastModifiedBy/>
  <cp:lastPrinted>2023-03-09T08:39:18Z</cp:lastPrinted>
  <dcterms:modified xsi:type="dcterms:W3CDTF">2023-03-16T12:48:47Z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